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477D5">
      <w:pPr>
        <w:ind w:right="-34" w:rightChars="-16"/>
        <w:rPr>
          <w:b/>
          <w:bCs/>
        </w:rPr>
      </w:pPr>
      <w:r>
        <w:rPr>
          <w:rFonts w:hint="eastAsia" w:ascii="宋体" w:hAnsi="宋体" w:eastAsia="宋体" w:cs="宋体"/>
          <w:b/>
          <w:color w:val="000000" w:themeColor="text1"/>
          <w:sz w:val="32"/>
          <w:szCs w:val="32"/>
          <w:lang w:val="en-US" w:eastAsia="zh-CN"/>
          <w14:textFill>
            <w14:solidFill>
              <w14:schemeClr w14:val="tx1"/>
            </w14:solidFill>
          </w14:textFill>
        </w:rPr>
        <w:t>附件</w:t>
      </w:r>
      <w:r>
        <w:rPr>
          <w:rFonts w:hint="eastAsia" w:ascii="宋体" w:hAnsi="宋体" w:eastAsia="宋体" w:cs="宋体"/>
          <w:b/>
          <w:color w:val="000000" w:themeColor="text1"/>
          <w:sz w:val="32"/>
          <w:szCs w:val="32"/>
          <w14:textFill>
            <w14:solidFill>
              <w14:schemeClr w14:val="tx1"/>
            </w14:solidFill>
          </w14:textFill>
        </w:rPr>
        <w:t>项目需求：</w:t>
      </w:r>
    </w:p>
    <w:p w14:paraId="5F733AF8">
      <w:pPr>
        <w:spacing w:line="360" w:lineRule="auto"/>
        <w:ind w:firstLine="435"/>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本次采购用户数不少于1000个邮箱账号，后缀名:用户名@ahdy.edu.cn，服务期5年。</w:t>
      </w:r>
    </w:p>
    <w:p w14:paraId="607DB22A">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（一）主要技术参数</w:t>
      </w:r>
    </w:p>
    <w:tbl>
      <w:tblPr>
        <w:tblStyle w:val="8"/>
        <w:tblW w:w="6040" w:type="pct"/>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
        <w:gridCol w:w="921"/>
        <w:gridCol w:w="5765"/>
        <w:gridCol w:w="649"/>
        <w:gridCol w:w="636"/>
        <w:gridCol w:w="425"/>
        <w:gridCol w:w="399"/>
        <w:gridCol w:w="805"/>
      </w:tblGrid>
      <w:tr w14:paraId="5773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210" w:type="pct"/>
            <w:tcBorders>
              <w:top w:val="single" w:color="auto" w:sz="4" w:space="0"/>
              <w:left w:val="single" w:color="auto" w:sz="4" w:space="0"/>
              <w:bottom w:val="single" w:color="auto" w:sz="4" w:space="0"/>
              <w:right w:val="single" w:color="auto" w:sz="4" w:space="0"/>
            </w:tcBorders>
            <w:vAlign w:val="center"/>
          </w:tcPr>
          <w:p w14:paraId="30574CD8">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序号</w:t>
            </w:r>
          </w:p>
        </w:tc>
        <w:tc>
          <w:tcPr>
            <w:tcW w:w="459" w:type="pct"/>
            <w:tcBorders>
              <w:top w:val="single" w:color="auto" w:sz="4" w:space="0"/>
              <w:left w:val="single" w:color="auto" w:sz="4" w:space="0"/>
              <w:bottom w:val="single" w:color="auto" w:sz="4" w:space="0"/>
              <w:right w:val="single" w:color="auto" w:sz="4" w:space="0"/>
            </w:tcBorders>
            <w:vAlign w:val="center"/>
          </w:tcPr>
          <w:p w14:paraId="45F1D14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服务（货物）名称</w:t>
            </w:r>
          </w:p>
        </w:tc>
        <w:tc>
          <w:tcPr>
            <w:tcW w:w="2875" w:type="pct"/>
            <w:tcBorders>
              <w:top w:val="single" w:color="auto" w:sz="4" w:space="0"/>
              <w:left w:val="single" w:color="auto" w:sz="4" w:space="0"/>
              <w:bottom w:val="single" w:color="auto" w:sz="4" w:space="0"/>
              <w:right w:val="single" w:color="auto" w:sz="4" w:space="0"/>
            </w:tcBorders>
            <w:vAlign w:val="center"/>
          </w:tcPr>
          <w:p w14:paraId="0E169656">
            <w:pPr>
              <w:spacing w:line="360" w:lineRule="auto"/>
              <w:ind w:firstLine="2254" w:firstLineChars="80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技术参数及要求</w:t>
            </w:r>
          </w:p>
        </w:tc>
        <w:tc>
          <w:tcPr>
            <w:tcW w:w="323" w:type="pct"/>
            <w:tcBorders>
              <w:top w:val="single" w:color="auto" w:sz="4" w:space="0"/>
              <w:left w:val="single" w:color="auto" w:sz="4" w:space="0"/>
              <w:bottom w:val="single" w:color="auto" w:sz="4" w:space="0"/>
              <w:right w:val="single" w:color="auto" w:sz="4" w:space="0"/>
            </w:tcBorders>
            <w:vAlign w:val="center"/>
          </w:tcPr>
          <w:p w14:paraId="263D5B5B">
            <w:pPr>
              <w:spacing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数量</w:t>
            </w:r>
          </w:p>
        </w:tc>
        <w:tc>
          <w:tcPr>
            <w:tcW w:w="317" w:type="pct"/>
            <w:tcBorders>
              <w:top w:val="single" w:color="auto" w:sz="4" w:space="0"/>
              <w:left w:val="single" w:color="auto" w:sz="4" w:space="0"/>
              <w:bottom w:val="single" w:color="auto" w:sz="4" w:space="0"/>
              <w:right w:val="single" w:color="auto" w:sz="4" w:space="0"/>
            </w:tcBorders>
            <w:vAlign w:val="center"/>
          </w:tcPr>
          <w:p w14:paraId="1BBE93B3">
            <w:pPr>
              <w:spacing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单位</w:t>
            </w:r>
          </w:p>
        </w:tc>
        <w:tc>
          <w:tcPr>
            <w:tcW w:w="411" w:type="pct"/>
            <w:gridSpan w:val="2"/>
            <w:tcBorders>
              <w:top w:val="single" w:color="auto" w:sz="4" w:space="0"/>
              <w:left w:val="single" w:color="auto" w:sz="4" w:space="0"/>
              <w:bottom w:val="single" w:color="auto" w:sz="4" w:space="0"/>
              <w:right w:val="single" w:color="auto" w:sz="4" w:space="0"/>
            </w:tcBorders>
            <w:vAlign w:val="center"/>
          </w:tcPr>
          <w:p w14:paraId="1EAC61DF">
            <w:pPr>
              <w:spacing w:line="360" w:lineRule="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单价（元）</w:t>
            </w:r>
          </w:p>
        </w:tc>
        <w:tc>
          <w:tcPr>
            <w:tcW w:w="401" w:type="pct"/>
            <w:tcBorders>
              <w:top w:val="single" w:color="auto" w:sz="4" w:space="0"/>
              <w:left w:val="single" w:color="auto" w:sz="4" w:space="0"/>
              <w:bottom w:val="single" w:color="auto" w:sz="4" w:space="0"/>
              <w:right w:val="single" w:color="auto" w:sz="4" w:space="0"/>
            </w:tcBorders>
            <w:vAlign w:val="center"/>
          </w:tcPr>
          <w:p w14:paraId="3EECB2F3">
            <w:pPr>
              <w:spacing w:line="360" w:lineRule="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总价（元）</w:t>
            </w:r>
          </w:p>
        </w:tc>
      </w:tr>
      <w:tr w14:paraId="4684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10" w:type="pct"/>
            <w:vMerge w:val="restart"/>
            <w:tcBorders>
              <w:top w:val="single" w:color="auto" w:sz="4" w:space="0"/>
              <w:left w:val="single" w:color="auto" w:sz="4" w:space="0"/>
              <w:bottom w:val="single" w:color="auto" w:sz="4" w:space="0"/>
              <w:right w:val="single" w:color="auto" w:sz="4" w:space="0"/>
            </w:tcBorders>
            <w:vAlign w:val="center"/>
          </w:tcPr>
          <w:p w14:paraId="2578FCB0">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459" w:type="pct"/>
            <w:vMerge w:val="restart"/>
            <w:tcBorders>
              <w:top w:val="single" w:color="auto" w:sz="4" w:space="0"/>
              <w:left w:val="single" w:color="auto" w:sz="4" w:space="0"/>
              <w:bottom w:val="single" w:color="auto" w:sz="4" w:space="0"/>
              <w:right w:val="single" w:color="auto" w:sz="4" w:space="0"/>
            </w:tcBorders>
            <w:vAlign w:val="center"/>
          </w:tcPr>
          <w:p w14:paraId="3D7FFEE4">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云邮箱服务</w:t>
            </w:r>
          </w:p>
        </w:tc>
        <w:tc>
          <w:tcPr>
            <w:tcW w:w="2875" w:type="pct"/>
            <w:tcBorders>
              <w:top w:val="single" w:color="auto" w:sz="4" w:space="0"/>
              <w:left w:val="single" w:color="auto" w:sz="4" w:space="0"/>
              <w:bottom w:val="single" w:color="auto" w:sz="4" w:space="0"/>
              <w:right w:val="single" w:color="auto" w:sz="4" w:space="0"/>
            </w:tcBorders>
            <w:vAlign w:val="center"/>
          </w:tcPr>
          <w:p w14:paraId="6DE7522D">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 普通附件100MB。支持超大附件，单个附件大小≥3GB，整体空间≥16GB，有效时间15天，可续期。</w:t>
            </w:r>
          </w:p>
        </w:tc>
        <w:tc>
          <w:tcPr>
            <w:tcW w:w="323" w:type="pct"/>
            <w:vMerge w:val="restart"/>
            <w:tcBorders>
              <w:top w:val="single" w:color="auto" w:sz="4" w:space="0"/>
              <w:left w:val="single" w:color="auto" w:sz="4" w:space="0"/>
              <w:bottom w:val="single" w:color="auto" w:sz="4" w:space="0"/>
              <w:right w:val="single" w:color="auto" w:sz="4" w:space="0"/>
            </w:tcBorders>
            <w:vAlign w:val="center"/>
          </w:tcPr>
          <w:p w14:paraId="76C44423">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p>
        </w:tc>
        <w:tc>
          <w:tcPr>
            <w:tcW w:w="529" w:type="pct"/>
            <w:gridSpan w:val="2"/>
            <w:vMerge w:val="restart"/>
            <w:tcBorders>
              <w:top w:val="single" w:color="auto" w:sz="4" w:space="0"/>
              <w:left w:val="single" w:color="auto" w:sz="4" w:space="0"/>
              <w:bottom w:val="single" w:color="auto" w:sz="4" w:space="0"/>
              <w:right w:val="single" w:color="auto" w:sz="4" w:space="0"/>
            </w:tcBorders>
            <w:vAlign w:val="center"/>
          </w:tcPr>
          <w:p w14:paraId="7078A737">
            <w:pPr>
              <w:spacing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套</w:t>
            </w:r>
          </w:p>
        </w:tc>
        <w:tc>
          <w:tcPr>
            <w:tcW w:w="199" w:type="pct"/>
            <w:tcBorders>
              <w:top w:val="single" w:color="auto" w:sz="4" w:space="0"/>
              <w:left w:val="single" w:color="auto" w:sz="4" w:space="0"/>
              <w:bottom w:val="single" w:color="auto" w:sz="4" w:space="0"/>
              <w:right w:val="single" w:color="auto" w:sz="4" w:space="0"/>
            </w:tcBorders>
            <w:vAlign w:val="center"/>
          </w:tcPr>
          <w:p w14:paraId="325DF419">
            <w:pPr>
              <w:spacing w:line="360" w:lineRule="auto"/>
              <w:rPr>
                <w:rFonts w:hint="eastAsia"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3BEEB1DD">
            <w:pPr>
              <w:spacing w:line="360" w:lineRule="auto"/>
              <w:rPr>
                <w:rFonts w:hint="eastAsia" w:ascii="仿宋" w:hAnsi="仿宋" w:eastAsia="仿宋" w:cs="仿宋"/>
                <w:color w:val="000000" w:themeColor="text1"/>
                <w:sz w:val="28"/>
                <w:szCs w:val="28"/>
                <w14:textFill>
                  <w14:solidFill>
                    <w14:schemeClr w14:val="tx1"/>
                  </w14:solidFill>
                </w14:textFill>
              </w:rPr>
            </w:pPr>
          </w:p>
        </w:tc>
      </w:tr>
      <w:tr w14:paraId="0ACD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3D35E17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7476DF7">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6B35C4B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■2.提供个人网盘≥5GB，网盘文件永久保存，无需手动续期，网盘内文件可生成下载连接，供学校内部员工分享。（响应文件中提供支持本功能界面截图或者生产厂商官网说明截图）。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4F71CE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3026E44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3414512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6BB79591">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339F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3537975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3EA475D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399A6E11">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3.提供校园网盘≥50GB，支持校园内部文档上传、下载。支持上传、下载权限分配，分配目标可以是个人帐号也可以是部门账号。</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04B7349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2C21CBF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257A070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44EB1D04">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CA6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14ED4AA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0EF95CC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5CF48E69">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4.支持网盘回收站，回收站不占用网盘空间，可恢复 30 天内删除的文件，支持网盘管理权限自行分配。</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3169B76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6E42D47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53E6EFD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7BA9F9A3">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69FB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7A4F498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CC4FF8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1F53F748">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5.配备双重杀毒引擎，支持实时邮件病毒查杀。邮件数据及帐号信息在服务端密文保存，并具备完善的冗余备份机制，防止数据丢失。</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03447B8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DD11F1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7A2F775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73424F62">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3DD0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CF9D90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201F90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0198598">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■6.支持绑定动态验证码，通过动态验证码进行二次身份认证。（响应文件中提供支持本功能界面截图或者生产厂商官网说明截图）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78F8F5A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49B7CFC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272B443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181464F3">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2AC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1FCBCB3">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9A75F6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561DC7C6">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■7.具备反垃圾邮件网关，过滤垃圾信息。（响应文件中提供支持本功能界面截图或者反垃圾专利证书扫描件）。</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2EE5932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3BCBD1E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4D6DA21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21EBC55D">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6E40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4D6B24A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48F3685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9D62D57">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8.支持绑定密保手机，通过手机短信进行二次身份认证。</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2C3DB3B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278AD6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FEB178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651A13AF">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FFA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A69F34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B9AC80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8E555FA">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■9.提供多邮件投递通道，普通帐号和系统发信帐号采用不同 smtp 服务器进行发信（响应文件中提供支持本功能界面截图或者生产厂商官网说明截图）。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0CEDE98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01C88E73">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05A7A33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1D08384C">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4578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6C4A72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F5248A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C16F6F8">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10.支持防止穷举方式口令侦测：Webmail和客户端同一IP连续输错5次密码，该IP下登录即锁定。锁定记录通过邮件及短信提醒，可通过管理员进行控制；支持异地登录邮件及短信提醒，可通过管理员进行控制。异地登录提醒支持英文版。</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793AF87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57A7916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154B61A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6D91EDE7">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6CC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346EED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2EC0C0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46458F62">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11.webmail 支持全程 https 加密访问，支持上传自有域名证书</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282C8DF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5889BED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36710FA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3D97D8C8">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4C86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B63EAF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7CB699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69168250">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■12.支持域名密钥识别邮件（DKIM）认证。（响应文件中提供支持本功能界面截图或者生产厂商官网说明截图）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5C3A0B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65CEA1E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52CD623">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5D2A3C4D">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2D7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7EA07B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3EBC80D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3F956179">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■13.支持域名邮件验证协议（DMARC）防伪造协议,同时提供可视化dmarc 后台管理界面及日志查询。（响应文件中提供支持本功能界面截图或者生产厂商官网说明截图）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778A83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3ABF05D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126D9C4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321F5728">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4D9D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51D514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A97116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A6B3B67">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14.客户端、Web端强制使用加密端口。支持 SPF 协议；支持设置安全模式，可针对单个帐号或通过全局规则，设置指定帐号的安全访问要求。可禁止用户自动转发邮件。部署有海外云服务器，提供高信誉度投递服务器地址。提供海外版专属webmail登录地址。多语言支持。支持简体中文和英文版本。</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513C4F3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7D1F148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2B4AC69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306CF70F">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4173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3FF233E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C592CA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4BFA1314">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15.客户端、Web端海外专属地址配置，并通过 DNS 智能解析技术使用户在境内外无需手动调整服务器地址。</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6934F8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7406913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CD8D01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6338E8BF">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33E7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04D1BC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D9B3A8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1F4BFE4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■16.Webmail 提供默认线路或国际线路选择，并根据用户位置自动识别线路（响应文件中提供支持本功能界面截图或者生产厂商官网说明截图）。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D4F63F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7A86684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47E882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1CDFBBEC">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9DE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DBE0F7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469E7F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2D7F9DA3">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■17.每个帐号支持设置别名，同时支持用户自主设置别名（响应文件中提供支持本功能界面截图或者生产厂商官网说明截图）。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10C3869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361512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3D37A09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0AD56F3D">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23AD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D1CCE6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70B625A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2A5F7505">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18.支持邮件排序功能，可根据收件时间、发件人、邮件主题、邮件大小来排序；支持邮件模糊及精确检索，包括基于主题、收发件人、附件、时间等参数；支持附件管理，可以在附件管理单独查询附件，或根据附件类型进行过滤查询；支持邮件内容一键全文翻译功能；支持群发单显功能、到达回执、定时发信功能、邮件加密；支持多标签窗口，可同时读信、写信；支持 30 秒内发信取消功能；支持域内未读邮件撤回功能；支持客户端收取邮件标志，如果通过客户端收取过邮件，web页面对应的邮件将出现图标提示；支持用户在 Webmail 中设置客户端收取时间范围；支持用户自助查询使用日志，包括发信记录、收信记录、删信日志和登录日志；支持设置个人黑白名单；支持设置客户端授权码；支持校园通讯录和个人通讯录，并同步到客户端；支持公共联系人，将外域地址添加到校园通讯录中。</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3A84CF6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058738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13A5E7B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4339B5DC">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5A3E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4335DA0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1D769B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29FC1363">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19.支持邮件恢复功能，对误删邮件进行恢复。</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6F56206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266D184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103D8E7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4C189EE0">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4C25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7B96FA2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4DFFA63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1CF8802F">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20.校园邮箱通讯录中，已绑定手机的帐号可以隐藏手机号码。针对不同部门或个人，其查看通讯录的范围可定制。支持全域公告功能；支持更改校园个性 LOGO 、校园统一签名、校园自定义登录页面。校园自定义欢迎信。</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3D65845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2F6BD89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E9724F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71483D30">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6B72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A9B0C8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41D5BD17">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45F642BC">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21.支持校园自主进行域名管理。管理员可在管理后台添加/删除/修改所有的校园域名；支持最多 13 层级的部门组织架构新增、修改、删除；支持同一个帐号存在于不同组织架构下面；支持设置分级管理员。分级管理员角色的权限，可以勾选。提供分级管理员权限查询，可根据帐号名、管理角色名、管理部门、所属部门等条件查询对应管理权限信息。支持管理员信息批量导出。</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796C4D4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79EE580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2A97F8B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49A690BE">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8B5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750D43A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2BCDBE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41E25BD3">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22.支持管理员进行用户创建、修改、禁用、删除、密码修改等日常管理。支持删除帐号 7 天恢复；支持离职员工邮件和个人通讯录交接迁移；支持批量导出帐号创建时间、最近登陆时间、最近修改密码时间、使用容量；支持邮件列表功能，以便将用户进行分组和合理群发管理，发信权限可设置；支持列表中添加外域邮箱帐号；支持动态邮件列表以实现部门人员变动邮件列表成员同步变动，以及嵌套邮件列表；支持自助重置密码功能：域内成员通过绑定指定的手机号码或动态密码重置邮箱密码，管理员可批量关闭该功能；支持管理员强制域内成员开启Webmail登录二次验证；支持管理员批量开启/关闭超大附件功能。</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462AB7F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48770BB3">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438F411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725DCFFA">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B7B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61CF8BD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066376E2">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1D20C12B">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■23.帐号管理支持查询邮箱创建时间、使用容量、最近一次登录时间、最近一次密码修改时间（响应文件中提供支持本功能界面截图或者生产厂商官网说明截图）。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75478B1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35495FE4">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71AB04D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27FD865D">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2F18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DA24197">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6DA168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0AB46A95">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24.支持以表格形式批量筛选帐号进行操作；支持管理员在管理后台快速查询域内 6 个月未登录用户，并可直接禁用或删除，方便校园清理非活跃帐号，合理分配帐号数量。提供单独邮箱报表统计模块。支持发信量、收信量、登录渠道、登录地点多种维度分析；支持曲线图/表格可视化查询数据；支持按照时间/域名/登录方式过滤数据；支持图标下载导出；支持管理员分享报表链接，以供领导一键查看数据报表；支持设置校园域黑白名单；支持帐号登录限制，可根据国家及地区添加限制；支持管理员设置域内成员定期修改密码，支持管理员定义密码复杂度；定期修改密码支持添加例外帐号，无需进行定期修改。</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045FBB9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F7149F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1990201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25759B6E">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B86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2BA301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2326420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670A0A26">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■25.支持在管理后台对域内弱密码用户进行扫描（响应文件中提供支持本功能界面截图或者生产厂商官网说明截图）。</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2663825B">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2FC0100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39AFD60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7E0C3A3A">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F0F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78B30F4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162A384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194BC5D7">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26.支持自主备份（以实现邮件监控）。支持备份添加复核帐号，任何备份关系的变更会有系统邮件通知给复核帐号。支持邮件审核，校园可自定义邮件审核规则：管理员在管理后台可设置被审核人和审核人，可根据邮件主题、收件人等多种因素进行邮件发送审核。规则设定后被审核人发送的邮件出发审核规则会等待审核人审核后才发送/拒绝发送；支持域内邮件删除。管理员在管理后台即可查询并批量操作域内邮件删除；支持通讯录排序，支持通讯录主显帐号设置；支持管理员在管理后台，批量为用户强制开启异地登录提醒功能并设置提醒方式，以及时提醒域内用户，有被多次输入错误密码被暴力破解的风险；支持管理员在管理后台，批量为用户强制开启帐号锁定提醒并设置提醒方式；支持管理员在管理后台查看因帐号被盗发垃圾邮件被系统禁用的帐号并操作解禁。</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48A8C58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5142ED1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B41D636">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2400F9E2">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B1B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49E7768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7C8C5B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684DDA3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27.兼容各版本浏览器，提供移动适配页面。支持通过PC、手机、平板电脑等多种终端使用。提供配套客户端，支持帐号绑定免配置，支持云附件发送、同步校园通讯录。支持邮箱帐号绑定微信，并支持微信扫码登录。</w:t>
            </w:r>
            <w:bookmarkStart w:id="0" w:name="OLE_LINK20"/>
            <w:r>
              <w:rPr>
                <w:rFonts w:hint="eastAsia" w:ascii="仿宋" w:hAnsi="仿宋" w:eastAsia="仿宋" w:cs="仿宋"/>
                <w:color w:val="000000" w:themeColor="text1"/>
                <w:sz w:val="28"/>
                <w:szCs w:val="28"/>
                <w14:textFill>
                  <w14:solidFill>
                    <w14:schemeClr w14:val="tx1"/>
                  </w14:solidFill>
                </w14:textFill>
              </w:rPr>
              <w:t>提供单点登录接口、未读邮件数接口、自定义登录接口、组织架构同步接口。</w:t>
            </w:r>
            <w:bookmarkEnd w:id="0"/>
            <w:r>
              <w:rPr>
                <w:rFonts w:hint="eastAsia" w:ascii="仿宋" w:hAnsi="仿宋" w:eastAsia="仿宋" w:cs="仿宋"/>
                <w:color w:val="000000" w:themeColor="text1"/>
                <w:sz w:val="28"/>
                <w:szCs w:val="28"/>
                <w14:textFill>
                  <w14:solidFill>
                    <w14:schemeClr w14:val="tx1"/>
                  </w14:solidFill>
                </w14:textFill>
              </w:rPr>
              <w:t>.单点登录接口支持单点登录至收件箱、已发送、草稿箱等不同文件夹，支持单点登录直接打开指定邮件。支持通过接口批量绑定密保手机。</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2C3B24F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4D3FECEF">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5F1AC53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35110F47">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533A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22B3B95D">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47500FD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5F6197F7">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28.针对校园内部各类系统，提供网上对接方案，包含但不局限于AD/LDAP、各类OA/HR系统，第三方IM工具等。</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4E77E49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4A58EF70">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096529AE">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5344E711">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7B0F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621F20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5698DFAA">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79514F81">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29.支持原邮箱密码、离线的密文密码同步。支持多个域名同时迁移。</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409FA1F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3332A475">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6D34C0A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6C409B15">
            <w:pPr>
              <w:spacing w:line="360" w:lineRule="auto"/>
              <w:ind w:firstLine="435"/>
              <w:rPr>
                <w:rFonts w:ascii="仿宋" w:hAnsi="仿宋" w:eastAsia="仿宋" w:cs="仿宋"/>
                <w:color w:val="000000" w:themeColor="text1"/>
                <w:sz w:val="28"/>
                <w:szCs w:val="28"/>
                <w14:textFill>
                  <w14:solidFill>
                    <w14:schemeClr w14:val="tx1"/>
                  </w14:solidFill>
                </w14:textFill>
              </w:rPr>
            </w:pPr>
          </w:p>
        </w:tc>
      </w:tr>
      <w:tr w14:paraId="1A7B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10" w:type="pct"/>
            <w:vMerge w:val="continue"/>
            <w:tcBorders>
              <w:top w:val="single" w:color="auto" w:sz="4" w:space="0"/>
              <w:left w:val="single" w:color="auto" w:sz="4" w:space="0"/>
              <w:bottom w:val="single" w:color="auto" w:sz="4" w:space="0"/>
              <w:right w:val="single" w:color="auto" w:sz="4" w:space="0"/>
            </w:tcBorders>
            <w:vAlign w:val="center"/>
          </w:tcPr>
          <w:p w14:paraId="586332B8">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32F5FA59">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2875" w:type="pct"/>
            <w:tcBorders>
              <w:top w:val="single" w:color="auto" w:sz="4" w:space="0"/>
              <w:left w:val="single" w:color="auto" w:sz="4" w:space="0"/>
              <w:bottom w:val="single" w:color="auto" w:sz="4" w:space="0"/>
              <w:right w:val="single" w:color="auto" w:sz="4" w:space="0"/>
            </w:tcBorders>
            <w:vAlign w:val="center"/>
          </w:tcPr>
          <w:p w14:paraId="2170424F">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30.完成现有邮箱迁移，提供详细的邮箱数据无缝迁移方案，整个邮件系统的迁移时间不超过12小时，供应商需出具邮件迁移时间承诺函。</w:t>
            </w:r>
          </w:p>
        </w:tc>
        <w:tc>
          <w:tcPr>
            <w:tcW w:w="323" w:type="pct"/>
            <w:vMerge w:val="continue"/>
            <w:tcBorders>
              <w:top w:val="single" w:color="auto" w:sz="4" w:space="0"/>
              <w:left w:val="single" w:color="auto" w:sz="4" w:space="0"/>
              <w:bottom w:val="single" w:color="auto" w:sz="4" w:space="0"/>
              <w:right w:val="single" w:color="auto" w:sz="4" w:space="0"/>
            </w:tcBorders>
            <w:vAlign w:val="center"/>
          </w:tcPr>
          <w:p w14:paraId="12ED3B2C">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529" w:type="pct"/>
            <w:gridSpan w:val="2"/>
            <w:vMerge w:val="continue"/>
            <w:tcBorders>
              <w:top w:val="single" w:color="auto" w:sz="4" w:space="0"/>
              <w:left w:val="single" w:color="auto" w:sz="4" w:space="0"/>
              <w:bottom w:val="single" w:color="auto" w:sz="4" w:space="0"/>
              <w:right w:val="single" w:color="auto" w:sz="4" w:space="0"/>
            </w:tcBorders>
            <w:vAlign w:val="center"/>
          </w:tcPr>
          <w:p w14:paraId="1B53A8A3">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199" w:type="pct"/>
            <w:tcBorders>
              <w:top w:val="single" w:color="auto" w:sz="4" w:space="0"/>
              <w:left w:val="single" w:color="auto" w:sz="4" w:space="0"/>
              <w:bottom w:val="single" w:color="auto" w:sz="4" w:space="0"/>
              <w:right w:val="single" w:color="auto" w:sz="4" w:space="0"/>
            </w:tcBorders>
            <w:vAlign w:val="center"/>
          </w:tcPr>
          <w:p w14:paraId="022D9E81">
            <w:pPr>
              <w:spacing w:line="360" w:lineRule="auto"/>
              <w:ind w:firstLine="435"/>
              <w:rPr>
                <w:rFonts w:ascii="仿宋" w:hAnsi="仿宋" w:eastAsia="仿宋" w:cs="仿宋"/>
                <w:color w:val="000000" w:themeColor="text1"/>
                <w:sz w:val="28"/>
                <w:szCs w:val="28"/>
                <w14:textFill>
                  <w14:solidFill>
                    <w14:schemeClr w14:val="tx1"/>
                  </w14:solidFill>
                </w14:textFill>
              </w:rPr>
            </w:pPr>
          </w:p>
        </w:tc>
        <w:tc>
          <w:tcPr>
            <w:tcW w:w="401" w:type="pct"/>
            <w:tcBorders>
              <w:top w:val="single" w:color="auto" w:sz="4" w:space="0"/>
              <w:left w:val="single" w:color="auto" w:sz="4" w:space="0"/>
              <w:bottom w:val="single" w:color="auto" w:sz="4" w:space="0"/>
              <w:right w:val="single" w:color="auto" w:sz="4" w:space="0"/>
            </w:tcBorders>
            <w:vAlign w:val="center"/>
          </w:tcPr>
          <w:p w14:paraId="1E1A48EB">
            <w:pPr>
              <w:spacing w:line="360" w:lineRule="auto"/>
              <w:ind w:firstLine="435"/>
              <w:rPr>
                <w:rFonts w:ascii="仿宋" w:hAnsi="仿宋" w:eastAsia="仿宋" w:cs="仿宋"/>
                <w:color w:val="000000" w:themeColor="text1"/>
                <w:sz w:val="28"/>
                <w:szCs w:val="28"/>
                <w14:textFill>
                  <w14:solidFill>
                    <w14:schemeClr w14:val="tx1"/>
                  </w14:solidFill>
                </w14:textFill>
              </w:rPr>
            </w:pPr>
          </w:p>
        </w:tc>
      </w:tr>
    </w:tbl>
    <w:p w14:paraId="170682DE">
      <w:pPr>
        <w:spacing w:line="360" w:lineRule="auto"/>
        <w:ind w:firstLine="435"/>
        <w:rPr>
          <w:rFonts w:ascii="仿宋" w:hAnsi="仿宋" w:eastAsia="仿宋" w:cs="仿宋"/>
          <w:color w:val="000000" w:themeColor="text1"/>
          <w:sz w:val="28"/>
          <w:szCs w:val="28"/>
          <w14:textFill>
            <w14:solidFill>
              <w14:schemeClr w14:val="tx1"/>
            </w14:solidFill>
          </w14:textFill>
        </w:rPr>
      </w:pPr>
    </w:p>
    <w:p w14:paraId="67BD6FC0">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（二）主要商务要求</w:t>
      </w:r>
    </w:p>
    <w:p w14:paraId="11DDDF3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r>
        <w:rPr>
          <w:rFonts w:hint="eastAsia" w:ascii="仿宋" w:hAnsi="仿宋" w:eastAsia="仿宋" w:cs="仿宋"/>
          <w:bCs/>
          <w:color w:val="000000"/>
          <w:sz w:val="28"/>
          <w:szCs w:val="28"/>
        </w:rPr>
        <w:t>供应商所投产品通过等保三级或以上等级备案及评测，投标文件提供相关证书复印件。</w:t>
      </w:r>
      <w:r>
        <w:rPr>
          <w:rFonts w:hint="eastAsia" w:ascii="仿宋" w:hAnsi="仿宋" w:eastAsia="仿宋" w:cs="仿宋"/>
          <w:color w:val="000000" w:themeColor="text1"/>
          <w:sz w:val="28"/>
          <w:szCs w:val="28"/>
          <w14:textFill>
            <w14:solidFill>
              <w14:schemeClr w14:val="tx1"/>
            </w14:solidFill>
          </w14:textFill>
        </w:rPr>
        <w:t>支持原厂专业的服务团队支撑邮件系统的服务，同时向学校开放系统的管理权限。提供7*24小时售后服务（包括24小时的官方客服热线和邮件客服）。可根据学校要求提供电话、远程以及现场支持服务。</w:t>
      </w:r>
    </w:p>
    <w:p w14:paraId="343272D5">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2、系统发生故障后，必须在半个小时内响应，2小时内解决。</w:t>
      </w:r>
    </w:p>
    <w:p w14:paraId="478B098F">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3、提供1对1专人负责学校邮箱售后维护服务。</w:t>
      </w:r>
    </w:p>
    <w:p w14:paraId="75FA040C">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4、功能升级、更新，系统维护需提前告知，并提供精准详细的升级内容和注意事项的文档。</w:t>
      </w:r>
    </w:p>
    <w:p w14:paraId="1F63B9E8">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5、提供管理员和用户使用手册，提供系统使用和对接咨询服务，官网提供完备详细的使用备注指导。</w:t>
      </w:r>
    </w:p>
    <w:p w14:paraId="76CEDD1E">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、响应文件中须提供详细的邮箱数据无缝迁移方案。</w:t>
      </w:r>
    </w:p>
    <w:p w14:paraId="60B35C02">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、完成现有邮箱迁移，为确保学校能够正常使用邮件系统，整个邮件系统的迁移时间不超过12小时，投标人需出具邮件迁移时间承诺函。</w:t>
      </w:r>
    </w:p>
    <w:p w14:paraId="0B5F0280">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8</w:t>
      </w:r>
      <w:r>
        <w:rPr>
          <w:rFonts w:hint="eastAsia" w:ascii="仿宋" w:hAnsi="仿宋" w:eastAsia="仿宋" w:cs="仿宋"/>
          <w:color w:val="000000" w:themeColor="text1"/>
          <w:sz w:val="28"/>
          <w:szCs w:val="28"/>
          <w14:textFill>
            <w14:solidFill>
              <w14:schemeClr w14:val="tx1"/>
            </w14:solidFill>
          </w14:textFill>
        </w:rPr>
        <w:t>、提供数据无缝迁移功能，用户无需登录激活，无需管理员重置原邮箱密码。可以同步原邮箱密文密码至新邮箱，可以批量同步个人通讯录。投标人需出具邮件迁移承诺函。</w:t>
      </w:r>
    </w:p>
    <w:p w14:paraId="2DD129B1">
      <w:pPr>
        <w:spacing w:line="360" w:lineRule="auto"/>
        <w:ind w:firstLine="435"/>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9</w:t>
      </w:r>
      <w:bookmarkStart w:id="1" w:name="_GoBack"/>
      <w:bookmarkEnd w:id="1"/>
      <w:r>
        <w:rPr>
          <w:rFonts w:hint="eastAsia" w:ascii="仿宋" w:hAnsi="仿宋" w:eastAsia="仿宋" w:cs="仿宋"/>
          <w:color w:val="000000" w:themeColor="text1"/>
          <w:sz w:val="28"/>
          <w:szCs w:val="28"/>
          <w14:textFill>
            <w14:solidFill>
              <w14:schemeClr w14:val="tx1"/>
            </w14:solidFill>
          </w14:textFill>
        </w:rPr>
        <w:t>、合同签订前，成交供应商须提供所投产品标注“■”项技术参数的有效证明材料（如证明函或功能证明截图等）并由成交供应商进行功能演示供采购人核验，超时未提供或提供不全的，采购人有权报监管部门处理，取消其中标资格。</w:t>
      </w:r>
    </w:p>
    <w:p w14:paraId="64CF0B2C">
      <w:pPr>
        <w:spacing w:line="360" w:lineRule="auto"/>
        <w:ind w:firstLine="562" w:firstLineChars="200"/>
        <w:rPr>
          <w:rFonts w:ascii="仿宋" w:hAnsi="仿宋" w:eastAsia="仿宋" w:cs="仿宋"/>
          <w:b/>
          <w:bCs/>
          <w:color w:val="000000" w:themeColor="text1"/>
          <w:sz w:val="28"/>
          <w:szCs w:val="28"/>
          <w14:textFill>
            <w14:solidFill>
              <w14:schemeClr w14:val="tx1"/>
            </w14:solidFill>
          </w14:textFill>
        </w:rPr>
      </w:pPr>
    </w:p>
    <w:p w14:paraId="333234CE">
      <w:pPr>
        <w:spacing w:line="360" w:lineRule="auto"/>
        <w:ind w:firstLine="562" w:firstLineChars="200"/>
        <w:rPr>
          <w:rFonts w:ascii="仿宋" w:hAnsi="仿宋" w:eastAsia="仿宋" w:cs="仿宋"/>
          <w:b/>
          <w:bCs/>
          <w:color w:val="000000" w:themeColor="text1"/>
          <w:sz w:val="28"/>
          <w:szCs w:val="28"/>
          <w14:textFill>
            <w14:solidFill>
              <w14:schemeClr w14:val="tx1"/>
            </w14:solidFill>
          </w14:textFill>
        </w:rPr>
      </w:pPr>
    </w:p>
    <w:p w14:paraId="0D0CE8ED">
      <w:pPr>
        <w:rPr>
          <w:rFonts w:hint="default"/>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B17F">
    <w:pPr>
      <w:spacing w:before="1" w:line="235" w:lineRule="auto"/>
      <w:ind w:left="121"/>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FF40C">
    <w:pPr>
      <w:pStyle w:val="2"/>
      <w:keepNext w:val="0"/>
      <w:keepLines w:val="0"/>
      <w:widowControl/>
      <w:suppressLineNumbers w:val="0"/>
      <w:pBdr>
        <w:top w:val="none" w:color="auto" w:sz="0" w:space="0"/>
        <w:left w:val="none" w:color="auto" w:sz="0" w:space="0"/>
        <w:bottom w:val="single" w:color="ECECEC" w:sz="6" w:space="7"/>
        <w:right w:val="none" w:color="auto" w:sz="0" w:space="0"/>
      </w:pBdr>
      <w:shd w:val="clear" w:fill="FFFFFF"/>
      <w:spacing w:before="0" w:beforeAutospacing="0" w:after="0" w:afterAutospacing="0" w:line="390" w:lineRule="atLeast"/>
      <w:ind w:left="0" w:right="0" w:firstLine="0"/>
      <w:jc w:val="both"/>
      <w:rPr>
        <w:rFonts w:ascii="微软雅黑" w:hAnsi="微软雅黑" w:eastAsia="微软雅黑" w:cs="微软雅黑"/>
        <w:b/>
        <w:bCs/>
        <w:i w:val="0"/>
        <w:iCs w:val="0"/>
        <w:caps w:val="0"/>
        <w:color w:val="8F000B"/>
        <w:spacing w:val="0"/>
        <w:sz w:val="33"/>
        <w:szCs w:val="33"/>
      </w:rPr>
    </w:pPr>
  </w:p>
  <w:p w14:paraId="675F0F88">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hZmQyNzU1YWY5M2I2NDNhZmQ2ZGFlOTAwNjczYmUifQ=="/>
  </w:docVars>
  <w:rsids>
    <w:rsidRoot w:val="0098586C"/>
    <w:rsid w:val="00437597"/>
    <w:rsid w:val="006E4729"/>
    <w:rsid w:val="007E64FC"/>
    <w:rsid w:val="00804666"/>
    <w:rsid w:val="0098586C"/>
    <w:rsid w:val="012F0438"/>
    <w:rsid w:val="01477581"/>
    <w:rsid w:val="09A0136D"/>
    <w:rsid w:val="0BFC06F7"/>
    <w:rsid w:val="100F08ED"/>
    <w:rsid w:val="117D0518"/>
    <w:rsid w:val="132179FB"/>
    <w:rsid w:val="190912D0"/>
    <w:rsid w:val="1D9349F0"/>
    <w:rsid w:val="1E5959CC"/>
    <w:rsid w:val="217F6677"/>
    <w:rsid w:val="220C1C8B"/>
    <w:rsid w:val="227439E1"/>
    <w:rsid w:val="22925F36"/>
    <w:rsid w:val="24044C11"/>
    <w:rsid w:val="254E3F83"/>
    <w:rsid w:val="280E1EE1"/>
    <w:rsid w:val="2AED63FF"/>
    <w:rsid w:val="2D3A16A4"/>
    <w:rsid w:val="2EFC0F71"/>
    <w:rsid w:val="2FD17AAB"/>
    <w:rsid w:val="30B71989"/>
    <w:rsid w:val="3A7530B5"/>
    <w:rsid w:val="3E3F2FBE"/>
    <w:rsid w:val="434B31B8"/>
    <w:rsid w:val="43A95C8F"/>
    <w:rsid w:val="46CA4C5D"/>
    <w:rsid w:val="46E110B6"/>
    <w:rsid w:val="49D62A28"/>
    <w:rsid w:val="4A875AD1"/>
    <w:rsid w:val="610A2B60"/>
    <w:rsid w:val="61AA2CEE"/>
    <w:rsid w:val="6494438F"/>
    <w:rsid w:val="65542650"/>
    <w:rsid w:val="65D30B92"/>
    <w:rsid w:val="66FE6CC3"/>
    <w:rsid w:val="678216A2"/>
    <w:rsid w:val="6931339D"/>
    <w:rsid w:val="6A36369E"/>
    <w:rsid w:val="6A7C2557"/>
    <w:rsid w:val="6E693F80"/>
    <w:rsid w:val="73E831D5"/>
    <w:rsid w:val="7C412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1"/>
    <w:pPr>
      <w:spacing w:before="150"/>
      <w:ind w:left="768"/>
      <w:jc w:val="both"/>
      <w:outlineLvl w:val="1"/>
    </w:pPr>
    <w:rPr>
      <w:b/>
      <w:bCs/>
      <w:i/>
      <w:sz w:val="25"/>
      <w:szCs w:val="25"/>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semiHidden/>
    <w:unhideWhenUsed/>
    <w:qFormat/>
    <w:uiPriority w:val="99"/>
    <w:rPr>
      <w:color w:val="0000FF"/>
      <w:u w:val="single"/>
    </w:rPr>
  </w:style>
  <w:style w:type="paragraph" w:customStyle="1" w:styleId="12">
    <w:name w:val="正"/>
    <w:basedOn w:val="1"/>
    <w:qFormat/>
    <w:uiPriority w:val="0"/>
    <w:pPr>
      <w:tabs>
        <w:tab w:val="left" w:pos="-120"/>
      </w:tabs>
      <w:adjustRightInd w:val="0"/>
      <w:spacing w:line="560" w:lineRule="exact"/>
      <w:ind w:firstLine="600"/>
      <w:textAlignment w:val="baseline"/>
    </w:pPr>
    <w:rPr>
      <w:rFonts w:ascii="仿宋_GB2312" w:hAnsi="Times New Roman" w:eastAsia="仿宋_GB2312" w:cs="Times New Roman"/>
      <w:color w:val="000000"/>
      <w:spacing w:val="20"/>
      <w:sz w:val="28"/>
      <w:szCs w:val="28"/>
    </w:rPr>
  </w:style>
  <w:style w:type="character" w:customStyle="1" w:styleId="13">
    <w:name w:val="批注框文本 Char"/>
    <w:basedOn w:val="10"/>
    <w:link w:val="4"/>
    <w:semiHidden/>
    <w:qFormat/>
    <w:uiPriority w:val="99"/>
    <w:rPr>
      <w:sz w:val="18"/>
      <w:szCs w:val="18"/>
    </w:rPr>
  </w:style>
  <w:style w:type="character" w:customStyle="1" w:styleId="14">
    <w:name w:val="font01"/>
    <w:basedOn w:val="10"/>
    <w:qFormat/>
    <w:uiPriority w:val="0"/>
    <w:rPr>
      <w:rFonts w:hint="eastAsia" w:ascii="宋体" w:hAnsi="宋体" w:eastAsia="宋体" w:cs="宋体"/>
      <w:color w:val="000000"/>
      <w:sz w:val="24"/>
      <w:szCs w:val="24"/>
      <w:u w:val="none"/>
    </w:rPr>
  </w:style>
  <w:style w:type="paragraph" w:customStyle="1" w:styleId="15">
    <w:name w:val="p_text_indent_2"/>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3664</Words>
  <Characters>3837</Characters>
  <Lines>1</Lines>
  <Paragraphs>1</Paragraphs>
  <TotalTime>5</TotalTime>
  <ScaleCrop>false</ScaleCrop>
  <LinksUpToDate>false</LinksUpToDate>
  <CharactersWithSpaces>3863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2022-11-02T07:54:00Z</dcterms:created>
  <dc:creator>lenovo</dc:creator>
  <cp:lastModifiedBy>ASUS</cp:lastModifiedBy>
  <cp:lastPrinted>2026-03-25T07:12:00Z</cp:lastPrinted>
  <dcterms:modified xsi:type="dcterms:W3CDTF">2026-09-23T06:41:12Z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CCDB5518489641CDA78745F90AF4E171_13</vt:lpwstr>
  </property>
  <property fmtid="{D5CDD505-2E9C-101B-9397-08002B2CF9AE}" pid="4" name="KSOTemplateDocerSaveRecord">
    <vt:lpwstr>eyJoZGlkIjoiNTJiMjdkMDI3YzViZGE0ZWRlYmQxZWNjYTM2MzFiMTMiLCJ1c2VySWQiOiIxNDk5NzY1NzM3In0=</vt:lpwstr>
  </property>
</Properties>
</file>